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13C4" w14:textId="35DDA7E8" w:rsidR="00920268" w:rsidRPr="009C621D" w:rsidRDefault="00710E04" w:rsidP="000A4BC3">
      <w:pPr>
        <w:jc w:val="center"/>
        <w:rPr>
          <w:rFonts w:ascii="Century Gothic" w:hAnsi="Century Gothic" w:cs="Arial"/>
          <w:b/>
          <w:sz w:val="21"/>
          <w:szCs w:val="21"/>
        </w:rPr>
      </w:pPr>
      <w:r w:rsidRPr="009C621D">
        <w:rPr>
          <w:rFonts w:ascii="Century Gothic" w:hAnsi="Century Gothic"/>
          <w:noProof/>
          <w:sz w:val="21"/>
          <w:szCs w:val="21"/>
        </w:rPr>
        <w:drawing>
          <wp:anchor distT="0" distB="0" distL="114300" distR="114300" simplePos="0" relativeHeight="251658752" behindDoc="0" locked="0" layoutInCell="1" allowOverlap="1" wp14:anchorId="745483F6" wp14:editId="1B25CECB">
            <wp:simplePos x="0" y="0"/>
            <wp:positionH relativeFrom="column">
              <wp:posOffset>22860</wp:posOffset>
            </wp:positionH>
            <wp:positionV relativeFrom="paragraph">
              <wp:posOffset>-328930</wp:posOffset>
            </wp:positionV>
            <wp:extent cx="560705" cy="64325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0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BC3" w:rsidRPr="009C621D">
        <w:rPr>
          <w:rFonts w:ascii="Century Gothic" w:hAnsi="Century Gothic" w:cs="Arial"/>
          <w:b/>
          <w:sz w:val="21"/>
          <w:szCs w:val="21"/>
        </w:rPr>
        <w:t>Hatton Academies Trust</w:t>
      </w:r>
    </w:p>
    <w:p w14:paraId="373D104F" w14:textId="77777777" w:rsidR="00D23CD4" w:rsidRPr="009C621D" w:rsidRDefault="00D23CD4" w:rsidP="000A4BC3">
      <w:pPr>
        <w:jc w:val="center"/>
        <w:rPr>
          <w:rFonts w:ascii="Century Gothic" w:hAnsi="Century Gothic" w:cs="Arial"/>
          <w:b/>
          <w:sz w:val="21"/>
          <w:szCs w:val="21"/>
        </w:rPr>
      </w:pPr>
    </w:p>
    <w:p w14:paraId="3CA772D4" w14:textId="11FA6068" w:rsidR="00A748A7" w:rsidRPr="009C621D" w:rsidRDefault="000A4BC3" w:rsidP="000A4BC3">
      <w:pPr>
        <w:jc w:val="center"/>
        <w:rPr>
          <w:rFonts w:ascii="Century Gothic" w:hAnsi="Century Gothic" w:cs="Arial"/>
          <w:b/>
          <w:sz w:val="21"/>
          <w:szCs w:val="21"/>
        </w:rPr>
      </w:pPr>
      <w:r w:rsidRPr="009C621D">
        <w:rPr>
          <w:rFonts w:ascii="Century Gothic" w:hAnsi="Century Gothic" w:cs="Arial"/>
          <w:b/>
          <w:sz w:val="21"/>
          <w:szCs w:val="21"/>
        </w:rPr>
        <w:t>Job Description</w:t>
      </w:r>
    </w:p>
    <w:p w14:paraId="7EECF778" w14:textId="77777777" w:rsidR="00D23CD4" w:rsidRPr="009C621D" w:rsidRDefault="00D23CD4" w:rsidP="000A4BC3">
      <w:pPr>
        <w:jc w:val="both"/>
        <w:rPr>
          <w:rFonts w:ascii="Century Gothic" w:hAnsi="Century Gothic" w:cs="Arial"/>
          <w:b/>
          <w:sz w:val="21"/>
          <w:szCs w:val="21"/>
        </w:rPr>
      </w:pPr>
    </w:p>
    <w:p w14:paraId="63DEA93B" w14:textId="77777777" w:rsidR="00D23CD4" w:rsidRPr="009C621D" w:rsidRDefault="00D23CD4" w:rsidP="000A4BC3">
      <w:pPr>
        <w:jc w:val="both"/>
        <w:rPr>
          <w:rFonts w:ascii="Century Gothic" w:hAnsi="Century Gothic" w:cs="Arial"/>
          <w:b/>
          <w:sz w:val="21"/>
          <w:szCs w:val="21"/>
        </w:rPr>
      </w:pPr>
    </w:p>
    <w:p w14:paraId="700F3956" w14:textId="77777777" w:rsidR="00A748A7" w:rsidRPr="009C621D" w:rsidRDefault="00A748A7" w:rsidP="000A4BC3">
      <w:pPr>
        <w:jc w:val="both"/>
        <w:rPr>
          <w:rFonts w:ascii="Century Gothic" w:hAnsi="Century Gothic" w:cs="Arial"/>
          <w:sz w:val="21"/>
          <w:szCs w:val="21"/>
        </w:rPr>
      </w:pPr>
      <w:r w:rsidRPr="009C621D">
        <w:rPr>
          <w:rFonts w:ascii="Century Gothic" w:hAnsi="Century Gothic" w:cs="Arial"/>
          <w:b/>
          <w:sz w:val="21"/>
          <w:szCs w:val="21"/>
        </w:rPr>
        <w:t>Job Title:</w:t>
      </w:r>
      <w:r w:rsidRPr="009C621D">
        <w:rPr>
          <w:rFonts w:ascii="Century Gothic" w:hAnsi="Century Gothic" w:cs="Arial"/>
          <w:sz w:val="21"/>
          <w:szCs w:val="21"/>
        </w:rPr>
        <w:tab/>
      </w:r>
      <w:r w:rsidRPr="009C621D">
        <w:rPr>
          <w:rFonts w:ascii="Century Gothic" w:hAnsi="Century Gothic" w:cs="Arial"/>
          <w:sz w:val="21"/>
          <w:szCs w:val="21"/>
        </w:rPr>
        <w:tab/>
      </w:r>
      <w:r w:rsidR="00415C93" w:rsidRPr="009C621D">
        <w:rPr>
          <w:rFonts w:ascii="Century Gothic" w:hAnsi="Century Gothic" w:cs="Arial"/>
          <w:sz w:val="21"/>
          <w:szCs w:val="21"/>
        </w:rPr>
        <w:t xml:space="preserve">Trust </w:t>
      </w:r>
      <w:r w:rsidR="00E31FF5" w:rsidRPr="009C621D">
        <w:rPr>
          <w:rFonts w:ascii="Century Gothic" w:hAnsi="Century Gothic" w:cs="Arial"/>
          <w:sz w:val="21"/>
          <w:szCs w:val="21"/>
        </w:rPr>
        <w:t>HR</w:t>
      </w:r>
      <w:r w:rsidRPr="009C621D">
        <w:rPr>
          <w:rFonts w:ascii="Century Gothic" w:hAnsi="Century Gothic" w:cs="Arial"/>
          <w:sz w:val="21"/>
          <w:szCs w:val="21"/>
        </w:rPr>
        <w:t xml:space="preserve"> </w:t>
      </w:r>
      <w:r w:rsidR="00CA4DCE" w:rsidRPr="009C621D">
        <w:rPr>
          <w:rFonts w:ascii="Century Gothic" w:hAnsi="Century Gothic" w:cs="Arial"/>
          <w:sz w:val="21"/>
          <w:szCs w:val="21"/>
        </w:rPr>
        <w:t>Manager</w:t>
      </w:r>
      <w:r w:rsidR="00A858EB" w:rsidRPr="009C621D">
        <w:rPr>
          <w:rFonts w:ascii="Century Gothic" w:hAnsi="Century Gothic" w:cs="Arial"/>
          <w:sz w:val="21"/>
          <w:szCs w:val="21"/>
        </w:rPr>
        <w:t xml:space="preserve"> </w:t>
      </w:r>
    </w:p>
    <w:p w14:paraId="13179095" w14:textId="77777777" w:rsidR="00A748A7" w:rsidRPr="009C621D" w:rsidRDefault="00A748A7" w:rsidP="000A4BC3">
      <w:pPr>
        <w:jc w:val="both"/>
        <w:rPr>
          <w:rFonts w:ascii="Century Gothic" w:hAnsi="Century Gothic" w:cs="Arial"/>
          <w:sz w:val="21"/>
          <w:szCs w:val="21"/>
        </w:rPr>
      </w:pPr>
    </w:p>
    <w:p w14:paraId="0A124CD2" w14:textId="77777777" w:rsidR="00A858EB" w:rsidRPr="009C621D" w:rsidRDefault="00A858EB" w:rsidP="000A4BC3">
      <w:pPr>
        <w:jc w:val="both"/>
        <w:rPr>
          <w:rFonts w:ascii="Century Gothic" w:hAnsi="Century Gothic" w:cs="Arial"/>
          <w:sz w:val="21"/>
          <w:szCs w:val="21"/>
        </w:rPr>
      </w:pPr>
      <w:r w:rsidRPr="009C621D">
        <w:rPr>
          <w:rFonts w:ascii="Century Gothic" w:hAnsi="Century Gothic" w:cs="Arial"/>
          <w:b/>
          <w:sz w:val="21"/>
          <w:szCs w:val="21"/>
        </w:rPr>
        <w:t>Line Manager:</w:t>
      </w:r>
      <w:r w:rsidRPr="009C621D">
        <w:rPr>
          <w:rFonts w:ascii="Century Gothic" w:hAnsi="Century Gothic" w:cs="Arial"/>
          <w:b/>
          <w:sz w:val="21"/>
          <w:szCs w:val="21"/>
        </w:rPr>
        <w:tab/>
      </w:r>
      <w:r w:rsidR="00D23CD4" w:rsidRPr="009C621D">
        <w:rPr>
          <w:rFonts w:ascii="Century Gothic" w:hAnsi="Century Gothic" w:cs="Arial"/>
          <w:sz w:val="21"/>
          <w:szCs w:val="21"/>
        </w:rPr>
        <w:t>Director of Finance &amp; Operations</w:t>
      </w:r>
    </w:p>
    <w:p w14:paraId="7B19B99A" w14:textId="77777777" w:rsidR="00A858EB" w:rsidRPr="009C621D" w:rsidRDefault="00A858EB" w:rsidP="000A4BC3">
      <w:pPr>
        <w:jc w:val="both"/>
        <w:rPr>
          <w:rFonts w:ascii="Century Gothic" w:hAnsi="Century Gothic" w:cs="Arial"/>
          <w:sz w:val="21"/>
          <w:szCs w:val="21"/>
        </w:rPr>
      </w:pPr>
    </w:p>
    <w:p w14:paraId="24F23452" w14:textId="77777777" w:rsidR="00A748A7" w:rsidRPr="009C621D" w:rsidRDefault="00A748A7" w:rsidP="000A4BC3">
      <w:pPr>
        <w:jc w:val="both"/>
        <w:rPr>
          <w:rFonts w:ascii="Century Gothic" w:hAnsi="Century Gothic" w:cs="Arial"/>
          <w:sz w:val="21"/>
          <w:szCs w:val="21"/>
        </w:rPr>
      </w:pPr>
      <w:r w:rsidRPr="009C621D">
        <w:rPr>
          <w:rFonts w:ascii="Century Gothic" w:hAnsi="Century Gothic" w:cs="Arial"/>
          <w:b/>
          <w:sz w:val="21"/>
          <w:szCs w:val="21"/>
        </w:rPr>
        <w:t>Responsible to:</w:t>
      </w:r>
      <w:r w:rsidRPr="009C621D">
        <w:rPr>
          <w:rFonts w:ascii="Century Gothic" w:hAnsi="Century Gothic" w:cs="Arial"/>
          <w:sz w:val="21"/>
          <w:szCs w:val="21"/>
        </w:rPr>
        <w:tab/>
      </w:r>
      <w:r w:rsidR="00241439" w:rsidRPr="009C621D">
        <w:rPr>
          <w:rFonts w:ascii="Century Gothic" w:hAnsi="Century Gothic" w:cs="Arial"/>
          <w:sz w:val="21"/>
          <w:szCs w:val="21"/>
        </w:rPr>
        <w:t>Chief Executive Officer</w:t>
      </w:r>
    </w:p>
    <w:p w14:paraId="7ACDEC80" w14:textId="77777777" w:rsidR="00652839" w:rsidRPr="009C621D" w:rsidRDefault="00652839" w:rsidP="000A4BC3">
      <w:pPr>
        <w:jc w:val="both"/>
        <w:rPr>
          <w:rFonts w:ascii="Century Gothic" w:hAnsi="Century Gothic" w:cs="Arial"/>
          <w:sz w:val="21"/>
          <w:szCs w:val="21"/>
        </w:rPr>
      </w:pPr>
    </w:p>
    <w:p w14:paraId="48F6EBFA" w14:textId="29157CA6" w:rsidR="00920268" w:rsidRPr="009C621D" w:rsidRDefault="00920268" w:rsidP="000A4BC3">
      <w:pPr>
        <w:jc w:val="both"/>
        <w:rPr>
          <w:rFonts w:ascii="Century Gothic" w:hAnsi="Century Gothic" w:cs="Arial"/>
          <w:sz w:val="21"/>
          <w:szCs w:val="21"/>
        </w:rPr>
      </w:pPr>
      <w:r w:rsidRPr="009C621D">
        <w:rPr>
          <w:rFonts w:ascii="Century Gothic" w:hAnsi="Century Gothic" w:cs="Arial"/>
          <w:b/>
          <w:sz w:val="21"/>
          <w:szCs w:val="21"/>
        </w:rPr>
        <w:t>Pay Scale:</w:t>
      </w:r>
      <w:r w:rsidRPr="009C621D">
        <w:rPr>
          <w:rFonts w:ascii="Century Gothic" w:hAnsi="Century Gothic" w:cs="Arial"/>
          <w:sz w:val="21"/>
          <w:szCs w:val="21"/>
        </w:rPr>
        <w:tab/>
      </w:r>
      <w:r w:rsidRPr="009C621D">
        <w:rPr>
          <w:rFonts w:ascii="Century Gothic" w:hAnsi="Century Gothic" w:cs="Arial"/>
          <w:sz w:val="21"/>
          <w:szCs w:val="21"/>
        </w:rPr>
        <w:tab/>
        <w:t xml:space="preserve">NJC Scale </w:t>
      </w:r>
      <w:r w:rsidR="007652CA" w:rsidRPr="009C621D">
        <w:rPr>
          <w:rFonts w:ascii="Century Gothic" w:hAnsi="Century Gothic" w:cs="Arial"/>
          <w:sz w:val="21"/>
          <w:szCs w:val="21"/>
        </w:rPr>
        <w:t>Point</w:t>
      </w:r>
      <w:r w:rsidR="00DF227A" w:rsidRPr="009C621D">
        <w:rPr>
          <w:rFonts w:ascii="Century Gothic" w:hAnsi="Century Gothic" w:cs="Arial"/>
          <w:sz w:val="21"/>
          <w:szCs w:val="21"/>
        </w:rPr>
        <w:t xml:space="preserve"> </w:t>
      </w:r>
      <w:r w:rsidR="008912BA" w:rsidRPr="009C621D">
        <w:rPr>
          <w:rFonts w:ascii="Century Gothic" w:hAnsi="Century Gothic" w:cs="Arial"/>
          <w:sz w:val="21"/>
          <w:szCs w:val="21"/>
        </w:rPr>
        <w:t>41 to 45</w:t>
      </w:r>
    </w:p>
    <w:p w14:paraId="43C7AADD" w14:textId="77777777" w:rsidR="00920268" w:rsidRPr="009C621D" w:rsidRDefault="00920268" w:rsidP="000A4BC3">
      <w:pPr>
        <w:jc w:val="both"/>
        <w:rPr>
          <w:rFonts w:ascii="Century Gothic" w:hAnsi="Century Gothic" w:cs="Arial"/>
          <w:sz w:val="21"/>
          <w:szCs w:val="21"/>
        </w:rPr>
      </w:pPr>
    </w:p>
    <w:p w14:paraId="5DF2C057" w14:textId="77777777" w:rsidR="00920268" w:rsidRPr="009C621D" w:rsidRDefault="00920268" w:rsidP="000A4BC3">
      <w:pPr>
        <w:jc w:val="both"/>
        <w:rPr>
          <w:rFonts w:ascii="Century Gothic" w:hAnsi="Century Gothic" w:cs="Arial"/>
          <w:sz w:val="21"/>
          <w:szCs w:val="21"/>
        </w:rPr>
      </w:pPr>
      <w:r w:rsidRPr="009C621D">
        <w:rPr>
          <w:rFonts w:ascii="Century Gothic" w:hAnsi="Century Gothic" w:cs="Arial"/>
          <w:b/>
          <w:sz w:val="21"/>
          <w:szCs w:val="21"/>
        </w:rPr>
        <w:t>Hours:</w:t>
      </w:r>
      <w:r w:rsidRPr="009C621D">
        <w:rPr>
          <w:rFonts w:ascii="Century Gothic" w:hAnsi="Century Gothic" w:cs="Arial"/>
          <w:sz w:val="21"/>
          <w:szCs w:val="21"/>
        </w:rPr>
        <w:tab/>
      </w:r>
      <w:r w:rsidRPr="009C621D">
        <w:rPr>
          <w:rFonts w:ascii="Century Gothic" w:hAnsi="Century Gothic" w:cs="Arial"/>
          <w:sz w:val="21"/>
          <w:szCs w:val="21"/>
        </w:rPr>
        <w:tab/>
      </w:r>
      <w:r w:rsidR="00A858EB" w:rsidRPr="009C621D">
        <w:rPr>
          <w:rFonts w:ascii="Century Gothic" w:hAnsi="Century Gothic" w:cs="Arial"/>
          <w:sz w:val="21"/>
          <w:szCs w:val="21"/>
        </w:rPr>
        <w:tab/>
      </w:r>
      <w:r w:rsidR="00AB552A" w:rsidRPr="009C621D">
        <w:rPr>
          <w:rFonts w:ascii="Century Gothic" w:hAnsi="Century Gothic" w:cs="Arial"/>
          <w:sz w:val="21"/>
          <w:szCs w:val="21"/>
        </w:rPr>
        <w:t>37 hours per week, 52</w:t>
      </w:r>
      <w:r w:rsidRPr="009C621D">
        <w:rPr>
          <w:rFonts w:ascii="Century Gothic" w:hAnsi="Century Gothic" w:cs="Arial"/>
          <w:sz w:val="21"/>
          <w:szCs w:val="21"/>
        </w:rPr>
        <w:t xml:space="preserve"> weeks per year</w:t>
      </w:r>
    </w:p>
    <w:p w14:paraId="44C9C490" w14:textId="77777777" w:rsidR="00920268" w:rsidRPr="009C621D" w:rsidRDefault="00920268" w:rsidP="000A4BC3">
      <w:pPr>
        <w:jc w:val="both"/>
        <w:rPr>
          <w:rFonts w:ascii="Century Gothic" w:hAnsi="Century Gothic" w:cs="Arial"/>
          <w:sz w:val="21"/>
          <w:szCs w:val="21"/>
        </w:rPr>
      </w:pPr>
    </w:p>
    <w:p w14:paraId="0B86A4ED" w14:textId="77777777" w:rsidR="00920268" w:rsidRPr="009C621D" w:rsidRDefault="00920268" w:rsidP="000A4BC3">
      <w:pPr>
        <w:jc w:val="both"/>
        <w:rPr>
          <w:rFonts w:ascii="Century Gothic" w:hAnsi="Century Gothic" w:cs="Arial"/>
          <w:sz w:val="21"/>
          <w:szCs w:val="21"/>
        </w:rPr>
      </w:pPr>
    </w:p>
    <w:p w14:paraId="037EE644" w14:textId="77777777" w:rsidR="00BF2FB4" w:rsidRPr="009C621D" w:rsidRDefault="00A748A7" w:rsidP="000A4BC3">
      <w:pPr>
        <w:jc w:val="both"/>
        <w:rPr>
          <w:rFonts w:ascii="Century Gothic" w:hAnsi="Century Gothic" w:cs="Arial"/>
          <w:b/>
          <w:sz w:val="21"/>
          <w:szCs w:val="21"/>
        </w:rPr>
      </w:pPr>
      <w:r w:rsidRPr="009C621D">
        <w:rPr>
          <w:rFonts w:ascii="Century Gothic" w:hAnsi="Century Gothic" w:cs="Arial"/>
          <w:b/>
          <w:sz w:val="21"/>
          <w:szCs w:val="21"/>
        </w:rPr>
        <w:t>Purpose</w:t>
      </w:r>
      <w:r w:rsidR="00C20837" w:rsidRPr="009C621D">
        <w:rPr>
          <w:rFonts w:ascii="Century Gothic" w:hAnsi="Century Gothic" w:cs="Arial"/>
          <w:b/>
          <w:sz w:val="21"/>
          <w:szCs w:val="21"/>
        </w:rPr>
        <w:t xml:space="preserve"> of the Role</w:t>
      </w:r>
      <w:r w:rsidRPr="009C621D">
        <w:rPr>
          <w:rFonts w:ascii="Century Gothic" w:hAnsi="Century Gothic" w:cs="Arial"/>
          <w:b/>
          <w:sz w:val="21"/>
          <w:szCs w:val="21"/>
        </w:rPr>
        <w:tab/>
      </w:r>
    </w:p>
    <w:p w14:paraId="4771DF0E" w14:textId="642F3E88" w:rsidR="00652839" w:rsidRPr="009C621D" w:rsidRDefault="00A748A7" w:rsidP="000A4BC3">
      <w:pPr>
        <w:jc w:val="both"/>
        <w:rPr>
          <w:rFonts w:ascii="Century Gothic" w:hAnsi="Century Gothic" w:cs="Arial"/>
          <w:b/>
          <w:sz w:val="21"/>
          <w:szCs w:val="21"/>
        </w:rPr>
      </w:pPr>
      <w:r w:rsidRPr="009C621D">
        <w:rPr>
          <w:rFonts w:ascii="Century Gothic" w:hAnsi="Century Gothic" w:cs="Arial"/>
          <w:b/>
          <w:sz w:val="21"/>
          <w:szCs w:val="21"/>
        </w:rPr>
        <w:tab/>
      </w:r>
    </w:p>
    <w:p w14:paraId="4C0A56D9" w14:textId="77777777" w:rsidR="00BF2FB4" w:rsidRPr="009C621D" w:rsidRDefault="00BF2FB4" w:rsidP="000A4BC3">
      <w:pPr>
        <w:jc w:val="both"/>
        <w:rPr>
          <w:rFonts w:ascii="Century Gothic" w:hAnsi="Century Gothic"/>
          <w:sz w:val="21"/>
          <w:szCs w:val="21"/>
        </w:rPr>
      </w:pPr>
      <w:r w:rsidRPr="009C621D">
        <w:rPr>
          <w:rFonts w:ascii="Century Gothic" w:hAnsi="Century Gothic"/>
          <w:sz w:val="21"/>
          <w:szCs w:val="21"/>
        </w:rPr>
        <w:t>The Trust HR Manager plays a pivotal role in shaping and delivering a high-quality, inclusive, and legally compliant HR service across the Trust. This role provides strategic, operational, and advisory support to the Director of Finance &amp; Operations and the CEO, with a focus on fostering a positive workplace culture, enhancing employee experience, and supporting the Trust’s educational mission.</w:t>
      </w:r>
    </w:p>
    <w:p w14:paraId="5DE72053" w14:textId="77777777" w:rsidR="00BF2FB4" w:rsidRPr="009C621D" w:rsidRDefault="00BF2FB4" w:rsidP="000A4BC3">
      <w:pPr>
        <w:jc w:val="both"/>
        <w:rPr>
          <w:rFonts w:ascii="Century Gothic" w:hAnsi="Century Gothic"/>
          <w:sz w:val="21"/>
          <w:szCs w:val="21"/>
        </w:rPr>
      </w:pPr>
    </w:p>
    <w:p w14:paraId="43B2A8BC" w14:textId="36545FAC" w:rsidR="00BF2FB4" w:rsidRPr="009C621D" w:rsidRDefault="00BF2FB4" w:rsidP="000A4BC3">
      <w:pPr>
        <w:jc w:val="both"/>
        <w:rPr>
          <w:rFonts w:ascii="Century Gothic" w:hAnsi="Century Gothic"/>
          <w:sz w:val="21"/>
          <w:szCs w:val="21"/>
        </w:rPr>
      </w:pPr>
      <w:r w:rsidRPr="009C621D">
        <w:rPr>
          <w:rFonts w:ascii="Century Gothic" w:hAnsi="Century Gothic"/>
          <w:sz w:val="21"/>
          <w:szCs w:val="21"/>
        </w:rPr>
        <w:t>The postholder will lead the HR team, ensuring effective service delivery, continuous improvement, and alignment with the Trust’s People Strategy. This includes oversight of recruitment, employee relations, policy development, compliance, and HR systems management.</w:t>
      </w:r>
    </w:p>
    <w:p w14:paraId="4730A445" w14:textId="77777777" w:rsidR="000A4BC3" w:rsidRPr="009C621D" w:rsidRDefault="000A4BC3" w:rsidP="000A4BC3">
      <w:pPr>
        <w:jc w:val="both"/>
        <w:rPr>
          <w:rFonts w:ascii="Century Gothic" w:hAnsi="Century Gothic" w:cs="Arial"/>
          <w:b/>
          <w:sz w:val="21"/>
          <w:szCs w:val="21"/>
        </w:rPr>
      </w:pPr>
    </w:p>
    <w:p w14:paraId="6880E41B" w14:textId="16F81B01" w:rsidR="00A748A7" w:rsidRPr="009C621D" w:rsidRDefault="00BF2FB4" w:rsidP="000A4BC3">
      <w:pPr>
        <w:jc w:val="both"/>
        <w:rPr>
          <w:rFonts w:ascii="Century Gothic" w:hAnsi="Century Gothic" w:cs="Arial"/>
          <w:b/>
          <w:sz w:val="21"/>
          <w:szCs w:val="21"/>
        </w:rPr>
      </w:pPr>
      <w:r w:rsidRPr="009C621D">
        <w:rPr>
          <w:rFonts w:ascii="Century Gothic" w:hAnsi="Century Gothic" w:cs="Arial"/>
          <w:b/>
          <w:sz w:val="21"/>
          <w:szCs w:val="21"/>
        </w:rPr>
        <w:t>Key</w:t>
      </w:r>
      <w:r w:rsidR="00A748A7" w:rsidRPr="009C621D">
        <w:rPr>
          <w:rFonts w:ascii="Century Gothic" w:hAnsi="Century Gothic" w:cs="Arial"/>
          <w:b/>
          <w:sz w:val="21"/>
          <w:szCs w:val="21"/>
        </w:rPr>
        <w:t xml:space="preserve"> Responsibilities</w:t>
      </w:r>
    </w:p>
    <w:p w14:paraId="55DF1966" w14:textId="36C3A606" w:rsidR="007F09EB" w:rsidRPr="009C621D" w:rsidRDefault="007F09EB" w:rsidP="000A4BC3">
      <w:pPr>
        <w:pStyle w:val="Heading2"/>
        <w:jc w:val="both"/>
        <w:rPr>
          <w:rFonts w:ascii="Century Gothic" w:hAnsi="Century Gothic"/>
          <w:color w:val="auto"/>
          <w:sz w:val="21"/>
          <w:szCs w:val="21"/>
        </w:rPr>
      </w:pPr>
      <w:r w:rsidRPr="009C621D">
        <w:rPr>
          <w:rFonts w:ascii="Century Gothic" w:hAnsi="Century Gothic"/>
          <w:color w:val="auto"/>
          <w:sz w:val="21"/>
          <w:szCs w:val="21"/>
        </w:rPr>
        <w:t>Strategic HR Leadership</w:t>
      </w:r>
    </w:p>
    <w:p w14:paraId="6ADE327F"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Lead the implementation of the Trust’s People Strategy, focusing on staff development, retention, and engagement.</w:t>
      </w:r>
    </w:p>
    <w:p w14:paraId="6944272C"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Provide expert HR advice to senior leaders and the Board, contributing to strategic planning and organisational development.</w:t>
      </w:r>
    </w:p>
    <w:p w14:paraId="769FB8B2"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Champion a culture of continuous improvement, inclusion, and high performance across the Trust.</w:t>
      </w:r>
    </w:p>
    <w:p w14:paraId="687D6C36" w14:textId="77777777" w:rsidR="007F09EB" w:rsidRPr="009C621D" w:rsidRDefault="007F09EB" w:rsidP="000A4BC3">
      <w:pPr>
        <w:pStyle w:val="Heading2"/>
        <w:jc w:val="both"/>
        <w:rPr>
          <w:rFonts w:ascii="Century Gothic" w:hAnsi="Century Gothic"/>
          <w:color w:val="auto"/>
          <w:sz w:val="21"/>
          <w:szCs w:val="21"/>
        </w:rPr>
      </w:pPr>
      <w:r w:rsidRPr="009C621D">
        <w:rPr>
          <w:rFonts w:ascii="Century Gothic" w:hAnsi="Century Gothic"/>
          <w:color w:val="auto"/>
          <w:sz w:val="21"/>
          <w:szCs w:val="21"/>
        </w:rPr>
        <w:t>Recruitment, Onboarding, and Workforce Planning</w:t>
      </w:r>
    </w:p>
    <w:p w14:paraId="2EAD5505"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Oversee end-to-end recruitment processes, ensuring compliance with safer recruitment practices and promoting inclusive hiring.</w:t>
      </w:r>
    </w:p>
    <w:p w14:paraId="4AA36EE4"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Support leaders in effective workforce planning, talent pooling, and succession planning.</w:t>
      </w:r>
    </w:p>
    <w:p w14:paraId="7AE20501"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Conduct exit interviews and provide insights to inform retention strategies.</w:t>
      </w:r>
    </w:p>
    <w:p w14:paraId="4BE6F1F2" w14:textId="77777777" w:rsidR="007F09EB" w:rsidRPr="009C621D" w:rsidRDefault="007F09EB" w:rsidP="000A4BC3">
      <w:pPr>
        <w:pStyle w:val="Heading2"/>
        <w:jc w:val="both"/>
        <w:rPr>
          <w:rFonts w:ascii="Century Gothic" w:hAnsi="Century Gothic"/>
          <w:color w:val="auto"/>
          <w:sz w:val="21"/>
          <w:szCs w:val="21"/>
        </w:rPr>
      </w:pPr>
      <w:r w:rsidRPr="009C621D">
        <w:rPr>
          <w:rFonts w:ascii="Century Gothic" w:hAnsi="Century Gothic"/>
          <w:color w:val="auto"/>
          <w:sz w:val="21"/>
          <w:szCs w:val="21"/>
        </w:rPr>
        <w:t>Policy Development and Compliance</w:t>
      </w:r>
    </w:p>
    <w:p w14:paraId="75DCB10B"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Lead the review and development of HR policies in line with employment legislation, statutory guidance, and sector best practice.</w:t>
      </w:r>
    </w:p>
    <w:p w14:paraId="2E80F4EC"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Facilitate consultation with staff and trade union representatives, ensuring transparent and collaborative policy development.</w:t>
      </w:r>
    </w:p>
    <w:p w14:paraId="2440DA60" w14:textId="77777777" w:rsidR="007F09EB" w:rsidRPr="009C621D" w:rsidRDefault="007F09EB" w:rsidP="000A4BC3">
      <w:pPr>
        <w:pStyle w:val="ListBullet"/>
        <w:jc w:val="both"/>
        <w:rPr>
          <w:rFonts w:ascii="Century Gothic" w:hAnsi="Century Gothic"/>
          <w:sz w:val="21"/>
          <w:szCs w:val="21"/>
        </w:rPr>
      </w:pPr>
      <w:r w:rsidRPr="009C621D">
        <w:rPr>
          <w:rFonts w:ascii="Century Gothic" w:hAnsi="Century Gothic"/>
          <w:sz w:val="21"/>
          <w:szCs w:val="21"/>
        </w:rPr>
        <w:t>Ensure compliance with safeguarding requirements, including the Single Central Record and DBS checks.</w:t>
      </w:r>
    </w:p>
    <w:p w14:paraId="717CD920" w14:textId="77777777" w:rsidR="00AD7E15" w:rsidRPr="009C621D" w:rsidRDefault="00AD7E15" w:rsidP="000A4BC3">
      <w:pPr>
        <w:pStyle w:val="Heading2"/>
        <w:jc w:val="both"/>
        <w:rPr>
          <w:rFonts w:ascii="Century Gothic" w:hAnsi="Century Gothic"/>
          <w:color w:val="auto"/>
          <w:sz w:val="21"/>
          <w:szCs w:val="21"/>
        </w:rPr>
      </w:pPr>
      <w:r w:rsidRPr="009C621D">
        <w:rPr>
          <w:rFonts w:ascii="Century Gothic" w:hAnsi="Century Gothic"/>
          <w:color w:val="auto"/>
          <w:sz w:val="21"/>
          <w:szCs w:val="21"/>
        </w:rPr>
        <w:lastRenderedPageBreak/>
        <w:t>Employee Relations and Wellbeing</w:t>
      </w:r>
    </w:p>
    <w:p w14:paraId="5DA2A193"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Provide expert guidance on employee relations matters, including performance, conduct, absence, and organisational change.</w:t>
      </w:r>
    </w:p>
    <w:p w14:paraId="431D7578"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Support the development and implementation of wellbeing initiatives and monitor their impact through data and feedback.</w:t>
      </w:r>
    </w:p>
    <w:p w14:paraId="5C305A1A"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Promote a positive and supportive working environment, aligned with the Trust’s values and legal obligations.</w:t>
      </w:r>
    </w:p>
    <w:p w14:paraId="45FD8BA9" w14:textId="77777777" w:rsidR="00AD7E15" w:rsidRPr="009C621D" w:rsidRDefault="00AD7E15" w:rsidP="000A4BC3">
      <w:pPr>
        <w:pStyle w:val="Heading2"/>
        <w:jc w:val="both"/>
        <w:rPr>
          <w:rFonts w:ascii="Century Gothic" w:hAnsi="Century Gothic"/>
          <w:color w:val="auto"/>
          <w:sz w:val="21"/>
          <w:szCs w:val="21"/>
        </w:rPr>
      </w:pPr>
      <w:r w:rsidRPr="009C621D">
        <w:rPr>
          <w:rFonts w:ascii="Century Gothic" w:hAnsi="Century Gothic"/>
          <w:color w:val="auto"/>
          <w:sz w:val="21"/>
          <w:szCs w:val="21"/>
        </w:rPr>
        <w:t>Equality, Diversity, and Inclusion (EDI)</w:t>
      </w:r>
    </w:p>
    <w:p w14:paraId="2AE3A1AC"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Act as the Trust’s EDI lead, supporting the development and delivery of inclusive practices and strategies.</w:t>
      </w:r>
    </w:p>
    <w:p w14:paraId="79BDFDB3"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Monitor and report on EDI metrics, contributing to the Trust’s Public Sector Equality Duty and accessibility planning.</w:t>
      </w:r>
    </w:p>
    <w:p w14:paraId="08BAC167"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Promote a culture of respect, fairness, and opportunity for all.</w:t>
      </w:r>
    </w:p>
    <w:p w14:paraId="7F9A4C2E" w14:textId="77777777" w:rsidR="00AD7E15" w:rsidRPr="009C621D" w:rsidRDefault="00AD7E15" w:rsidP="000A4BC3">
      <w:pPr>
        <w:pStyle w:val="Heading2"/>
        <w:jc w:val="both"/>
        <w:rPr>
          <w:rFonts w:ascii="Century Gothic" w:hAnsi="Century Gothic"/>
          <w:color w:val="auto"/>
          <w:sz w:val="21"/>
          <w:szCs w:val="21"/>
        </w:rPr>
      </w:pPr>
      <w:r w:rsidRPr="009C621D">
        <w:rPr>
          <w:rFonts w:ascii="Century Gothic" w:hAnsi="Century Gothic"/>
          <w:color w:val="auto"/>
          <w:sz w:val="21"/>
          <w:szCs w:val="21"/>
        </w:rPr>
        <w:t>HR Systems and Data Management</w:t>
      </w:r>
    </w:p>
    <w:p w14:paraId="5D6970A7" w14:textId="0047E6ED" w:rsidR="00AD7E15" w:rsidRPr="009C621D" w:rsidRDefault="002F2F78" w:rsidP="000A4BC3">
      <w:pPr>
        <w:pStyle w:val="ListBullet"/>
        <w:jc w:val="both"/>
        <w:rPr>
          <w:rFonts w:ascii="Century Gothic" w:hAnsi="Century Gothic"/>
          <w:sz w:val="21"/>
          <w:szCs w:val="21"/>
        </w:rPr>
      </w:pPr>
      <w:r w:rsidRPr="009C621D">
        <w:rPr>
          <w:rFonts w:ascii="Century Gothic" w:hAnsi="Century Gothic"/>
          <w:sz w:val="21"/>
          <w:szCs w:val="21"/>
        </w:rPr>
        <w:t xml:space="preserve">Be the expert user for the </w:t>
      </w:r>
      <w:r w:rsidR="00AD7E15" w:rsidRPr="009C621D">
        <w:rPr>
          <w:rFonts w:ascii="Century Gothic" w:hAnsi="Century Gothic"/>
          <w:sz w:val="21"/>
          <w:szCs w:val="21"/>
        </w:rPr>
        <w:t>Trust’s HR information systems</w:t>
      </w:r>
      <w:r w:rsidRPr="009C621D">
        <w:rPr>
          <w:rFonts w:ascii="Century Gothic" w:hAnsi="Century Gothic"/>
          <w:sz w:val="21"/>
          <w:szCs w:val="21"/>
        </w:rPr>
        <w:t xml:space="preserve"> (</w:t>
      </w:r>
      <w:proofErr w:type="spellStart"/>
      <w:r w:rsidRPr="009C621D">
        <w:rPr>
          <w:rFonts w:ascii="Century Gothic" w:hAnsi="Century Gothic"/>
          <w:sz w:val="21"/>
          <w:szCs w:val="21"/>
        </w:rPr>
        <w:t>SAMPeople</w:t>
      </w:r>
      <w:proofErr w:type="spellEnd"/>
      <w:r w:rsidRPr="009C621D">
        <w:rPr>
          <w:rFonts w:ascii="Century Gothic" w:hAnsi="Century Gothic"/>
          <w:sz w:val="21"/>
          <w:szCs w:val="21"/>
        </w:rPr>
        <w:t xml:space="preserve"> and </w:t>
      </w:r>
      <w:proofErr w:type="spellStart"/>
      <w:r w:rsidRPr="009C621D">
        <w:rPr>
          <w:rFonts w:ascii="Century Gothic" w:hAnsi="Century Gothic"/>
          <w:sz w:val="21"/>
          <w:szCs w:val="21"/>
        </w:rPr>
        <w:t>SAMPeople</w:t>
      </w:r>
      <w:proofErr w:type="spellEnd"/>
      <w:r w:rsidRPr="009C621D">
        <w:rPr>
          <w:rFonts w:ascii="Century Gothic" w:hAnsi="Century Gothic"/>
          <w:sz w:val="21"/>
          <w:szCs w:val="21"/>
        </w:rPr>
        <w:t xml:space="preserve"> Recruit)</w:t>
      </w:r>
      <w:r w:rsidR="00AD7E15" w:rsidRPr="009C621D">
        <w:rPr>
          <w:rFonts w:ascii="Century Gothic" w:hAnsi="Century Gothic"/>
          <w:sz w:val="21"/>
          <w:szCs w:val="21"/>
        </w:rPr>
        <w:t>, ensuring data accuracy, security, and effective reporting.</w:t>
      </w:r>
    </w:p>
    <w:p w14:paraId="31139EE5"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Provide timely and insightful HR reports to inform decision-making at all levels.</w:t>
      </w:r>
    </w:p>
    <w:p w14:paraId="58C38411"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Collaborate with the Finance team to ensure accurate payroll processing and data sharing.</w:t>
      </w:r>
    </w:p>
    <w:p w14:paraId="50556502" w14:textId="0C8CF9C1" w:rsidR="00AD7E15" w:rsidRPr="009C621D" w:rsidRDefault="006E6A90" w:rsidP="000A4BC3">
      <w:pPr>
        <w:pStyle w:val="ListBullet"/>
        <w:jc w:val="both"/>
        <w:rPr>
          <w:rFonts w:ascii="Century Gothic" w:hAnsi="Century Gothic"/>
          <w:sz w:val="21"/>
          <w:szCs w:val="21"/>
        </w:rPr>
      </w:pPr>
      <w:r w:rsidRPr="009C621D">
        <w:rPr>
          <w:rFonts w:ascii="Century Gothic" w:hAnsi="Century Gothic"/>
          <w:sz w:val="21"/>
          <w:szCs w:val="21"/>
        </w:rPr>
        <w:t xml:space="preserve">Develop a </w:t>
      </w:r>
      <w:r w:rsidR="008656F8" w:rsidRPr="009C621D">
        <w:rPr>
          <w:rFonts w:ascii="Century Gothic" w:hAnsi="Century Gothic"/>
          <w:sz w:val="21"/>
          <w:szCs w:val="21"/>
        </w:rPr>
        <w:t>top-level knowledge of the pension schemes in use and k</w:t>
      </w:r>
      <w:r w:rsidRPr="009C621D">
        <w:rPr>
          <w:rFonts w:ascii="Century Gothic" w:hAnsi="Century Gothic"/>
          <w:sz w:val="21"/>
          <w:szCs w:val="21"/>
        </w:rPr>
        <w:t xml:space="preserve">eep updated with any </w:t>
      </w:r>
      <w:r w:rsidR="00AD7E15" w:rsidRPr="009C621D">
        <w:rPr>
          <w:rFonts w:ascii="Century Gothic" w:hAnsi="Century Gothic"/>
          <w:sz w:val="21"/>
          <w:szCs w:val="21"/>
        </w:rPr>
        <w:t>scheme changes and developments</w:t>
      </w:r>
      <w:r w:rsidR="008656F8" w:rsidRPr="009C621D">
        <w:rPr>
          <w:rFonts w:ascii="Century Gothic" w:hAnsi="Century Gothic"/>
          <w:sz w:val="21"/>
          <w:szCs w:val="21"/>
        </w:rPr>
        <w:t xml:space="preserve">. </w:t>
      </w:r>
      <w:r w:rsidR="002F2F78" w:rsidRPr="009C621D">
        <w:rPr>
          <w:rFonts w:ascii="Century Gothic" w:hAnsi="Century Gothic"/>
          <w:sz w:val="21"/>
          <w:szCs w:val="21"/>
        </w:rPr>
        <w:t>P</w:t>
      </w:r>
      <w:r w:rsidR="008656F8" w:rsidRPr="009C621D">
        <w:rPr>
          <w:rFonts w:ascii="Century Gothic" w:hAnsi="Century Gothic"/>
          <w:sz w:val="21"/>
          <w:szCs w:val="21"/>
        </w:rPr>
        <w:t>rovide signposting to employees to the relevant pension scheme for support and guidance around all aspects of their pension planning.</w:t>
      </w:r>
    </w:p>
    <w:p w14:paraId="5FAE67F3" w14:textId="77777777" w:rsidR="00AD7E15" w:rsidRPr="009C621D" w:rsidRDefault="00AD7E15" w:rsidP="000A4BC3">
      <w:pPr>
        <w:pStyle w:val="Heading2"/>
        <w:jc w:val="both"/>
        <w:rPr>
          <w:rFonts w:ascii="Century Gothic" w:hAnsi="Century Gothic"/>
          <w:color w:val="auto"/>
          <w:sz w:val="21"/>
          <w:szCs w:val="21"/>
        </w:rPr>
      </w:pPr>
      <w:r w:rsidRPr="009C621D">
        <w:rPr>
          <w:rFonts w:ascii="Century Gothic" w:hAnsi="Century Gothic"/>
          <w:color w:val="auto"/>
          <w:sz w:val="21"/>
          <w:szCs w:val="21"/>
        </w:rPr>
        <w:t>Leadership and Team Management</w:t>
      </w:r>
    </w:p>
    <w:p w14:paraId="40D6C512"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Provide line management to the Assistant HR Manager, supporting their development and performance.</w:t>
      </w:r>
    </w:p>
    <w:p w14:paraId="0A531DAE"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Foster a collaborative and high-performing HR team culture.</w:t>
      </w:r>
    </w:p>
    <w:p w14:paraId="31A66365" w14:textId="77777777" w:rsidR="00AD7E15" w:rsidRPr="009C621D" w:rsidRDefault="00AD7E15" w:rsidP="000A4BC3">
      <w:pPr>
        <w:pStyle w:val="ListBullet"/>
        <w:jc w:val="both"/>
        <w:rPr>
          <w:rFonts w:ascii="Century Gothic" w:hAnsi="Century Gothic"/>
          <w:sz w:val="21"/>
          <w:szCs w:val="21"/>
        </w:rPr>
      </w:pPr>
      <w:r w:rsidRPr="009C621D">
        <w:rPr>
          <w:rFonts w:ascii="Century Gothic" w:hAnsi="Century Gothic"/>
          <w:sz w:val="21"/>
          <w:szCs w:val="21"/>
        </w:rPr>
        <w:t>Lead HR projects and initiatives as directed by the CEO or Director of Finance &amp; Operations.</w:t>
      </w:r>
    </w:p>
    <w:p w14:paraId="17EE5486" w14:textId="66DC3477" w:rsidR="00BE59C2" w:rsidRPr="009C621D" w:rsidRDefault="00590752" w:rsidP="009C621D">
      <w:pPr>
        <w:jc w:val="both"/>
        <w:rPr>
          <w:rFonts w:ascii="Century Gothic" w:hAnsi="Century Gothic" w:cs="Arial"/>
          <w:sz w:val="21"/>
          <w:szCs w:val="21"/>
        </w:rPr>
      </w:pPr>
      <w:r w:rsidRPr="009C621D">
        <w:rPr>
          <w:rFonts w:ascii="Century Gothic" w:hAnsi="Century Gothic" w:cs="Arial"/>
          <w:b/>
          <w:sz w:val="21"/>
          <w:szCs w:val="21"/>
        </w:rPr>
        <w:t>General</w:t>
      </w:r>
    </w:p>
    <w:p w14:paraId="30043746" w14:textId="77777777" w:rsidR="000A4BC3" w:rsidRPr="009C621D" w:rsidRDefault="006D34CC" w:rsidP="00275744">
      <w:pPr>
        <w:pStyle w:val="ListParagraph"/>
        <w:numPr>
          <w:ilvl w:val="0"/>
          <w:numId w:val="10"/>
        </w:numPr>
        <w:ind w:left="357" w:hanging="357"/>
        <w:jc w:val="both"/>
        <w:rPr>
          <w:rFonts w:ascii="Century Gothic" w:hAnsi="Century Gothic" w:cs="Arial"/>
          <w:b/>
          <w:sz w:val="21"/>
          <w:szCs w:val="21"/>
        </w:rPr>
      </w:pPr>
      <w:r w:rsidRPr="009C621D">
        <w:rPr>
          <w:rFonts w:ascii="Century Gothic" w:hAnsi="Century Gothic" w:cs="Arial"/>
          <w:sz w:val="21"/>
          <w:szCs w:val="21"/>
        </w:rPr>
        <w:t xml:space="preserve">Undertake </w:t>
      </w:r>
      <w:r w:rsidR="00BE59C2" w:rsidRPr="009C621D">
        <w:rPr>
          <w:rFonts w:ascii="Century Gothic" w:hAnsi="Century Gothic" w:cs="Arial"/>
          <w:sz w:val="21"/>
          <w:szCs w:val="21"/>
        </w:rPr>
        <w:t>HR projects, as required by the CEO</w:t>
      </w:r>
      <w:r w:rsidR="0035363D" w:rsidRPr="009C621D">
        <w:rPr>
          <w:rFonts w:ascii="Century Gothic" w:hAnsi="Century Gothic" w:cs="Arial"/>
          <w:sz w:val="21"/>
          <w:szCs w:val="21"/>
        </w:rPr>
        <w:t xml:space="preserve"> or DFO.</w:t>
      </w:r>
    </w:p>
    <w:p w14:paraId="3FC395B3" w14:textId="29F17AE4" w:rsidR="00465452" w:rsidRPr="009C621D" w:rsidRDefault="00B23BFF" w:rsidP="00275744">
      <w:pPr>
        <w:pStyle w:val="ListParagraph"/>
        <w:numPr>
          <w:ilvl w:val="0"/>
          <w:numId w:val="10"/>
        </w:numPr>
        <w:ind w:left="357" w:hanging="357"/>
        <w:jc w:val="both"/>
        <w:rPr>
          <w:rFonts w:ascii="Century Gothic" w:hAnsi="Century Gothic" w:cs="Arial"/>
          <w:b/>
          <w:sz w:val="21"/>
          <w:szCs w:val="21"/>
        </w:rPr>
      </w:pPr>
      <w:r w:rsidRPr="009C621D">
        <w:rPr>
          <w:rFonts w:ascii="Century Gothic" w:hAnsi="Century Gothic" w:cs="Arial"/>
          <w:sz w:val="21"/>
          <w:szCs w:val="21"/>
        </w:rPr>
        <w:t xml:space="preserve">Responsibility for safeguarding and promoting the welfare of children </w:t>
      </w:r>
      <w:r w:rsidR="00F7494B" w:rsidRPr="009C621D">
        <w:rPr>
          <w:rFonts w:ascii="Century Gothic" w:hAnsi="Century Gothic" w:cs="Arial"/>
          <w:sz w:val="21"/>
          <w:szCs w:val="21"/>
        </w:rPr>
        <w:t>within the Trust</w:t>
      </w:r>
      <w:r w:rsidRPr="009C621D">
        <w:rPr>
          <w:rFonts w:ascii="Century Gothic" w:hAnsi="Century Gothic" w:cs="Arial"/>
          <w:sz w:val="21"/>
          <w:szCs w:val="21"/>
        </w:rPr>
        <w:t>.</w:t>
      </w:r>
    </w:p>
    <w:p w14:paraId="7E657BA9" w14:textId="77777777" w:rsidR="00465452" w:rsidRPr="009C621D" w:rsidRDefault="00B23BFF" w:rsidP="000A4BC3">
      <w:pPr>
        <w:numPr>
          <w:ilvl w:val="0"/>
          <w:numId w:val="10"/>
        </w:numPr>
        <w:ind w:left="357" w:hanging="357"/>
        <w:jc w:val="both"/>
        <w:rPr>
          <w:rFonts w:ascii="Century Gothic" w:hAnsi="Century Gothic" w:cs="Arial"/>
          <w:b/>
          <w:sz w:val="21"/>
          <w:szCs w:val="21"/>
        </w:rPr>
      </w:pPr>
      <w:r w:rsidRPr="009C621D">
        <w:rPr>
          <w:rFonts w:ascii="Century Gothic" w:hAnsi="Century Gothic" w:cs="Arial"/>
          <w:sz w:val="21"/>
          <w:szCs w:val="21"/>
        </w:rPr>
        <w:t xml:space="preserve">The </w:t>
      </w:r>
      <w:r w:rsidR="00D9730A" w:rsidRPr="009C621D">
        <w:rPr>
          <w:rFonts w:ascii="Century Gothic" w:hAnsi="Century Gothic" w:cs="Arial"/>
          <w:sz w:val="21"/>
          <w:szCs w:val="21"/>
        </w:rPr>
        <w:t>Trust</w:t>
      </w:r>
      <w:r w:rsidRPr="009C621D">
        <w:rPr>
          <w:rFonts w:ascii="Century Gothic" w:hAnsi="Century Gothic" w:cs="Arial"/>
          <w:sz w:val="21"/>
          <w:szCs w:val="21"/>
        </w:rPr>
        <w:t xml:space="preserve"> has a commitment to be inclusive in terms of ethnicity, gender, disability, social background and academic ability and expects all staff to share this responsibility.</w:t>
      </w:r>
    </w:p>
    <w:p w14:paraId="14EA4FD6" w14:textId="77777777" w:rsidR="00590752" w:rsidRPr="009C621D" w:rsidRDefault="00B23BFF" w:rsidP="000A4BC3">
      <w:pPr>
        <w:numPr>
          <w:ilvl w:val="0"/>
          <w:numId w:val="10"/>
        </w:numPr>
        <w:ind w:left="357" w:hanging="357"/>
        <w:jc w:val="both"/>
        <w:rPr>
          <w:rFonts w:ascii="Century Gothic" w:hAnsi="Century Gothic" w:cs="Arial"/>
          <w:b/>
          <w:sz w:val="21"/>
          <w:szCs w:val="21"/>
        </w:rPr>
      </w:pPr>
      <w:r w:rsidRPr="009C621D">
        <w:rPr>
          <w:rFonts w:ascii="Century Gothic" w:hAnsi="Century Gothic" w:cs="Arial"/>
          <w:sz w:val="21"/>
          <w:szCs w:val="21"/>
        </w:rPr>
        <w:t xml:space="preserve">Share and actively promote the </w:t>
      </w:r>
      <w:r w:rsidR="00D9730A" w:rsidRPr="009C621D">
        <w:rPr>
          <w:rFonts w:ascii="Century Gothic" w:hAnsi="Century Gothic" w:cs="Arial"/>
          <w:sz w:val="21"/>
          <w:szCs w:val="21"/>
        </w:rPr>
        <w:t>Trust’s</w:t>
      </w:r>
      <w:r w:rsidRPr="009C621D">
        <w:rPr>
          <w:rFonts w:ascii="Century Gothic" w:hAnsi="Century Gothic" w:cs="Arial"/>
          <w:sz w:val="21"/>
          <w:szCs w:val="21"/>
        </w:rPr>
        <w:t xml:space="preserve"> commitment to promoting equal opportunities and tackling discrimination</w:t>
      </w:r>
      <w:r w:rsidR="00590752" w:rsidRPr="009C621D">
        <w:rPr>
          <w:rFonts w:ascii="Century Gothic" w:hAnsi="Century Gothic" w:cs="Arial"/>
          <w:sz w:val="21"/>
          <w:szCs w:val="21"/>
        </w:rPr>
        <w:t>.</w:t>
      </w:r>
    </w:p>
    <w:p w14:paraId="7815B732" w14:textId="77777777" w:rsidR="00465452" w:rsidRPr="009C621D" w:rsidRDefault="00B23BFF" w:rsidP="000A4BC3">
      <w:pPr>
        <w:numPr>
          <w:ilvl w:val="0"/>
          <w:numId w:val="10"/>
        </w:numPr>
        <w:ind w:left="357" w:hanging="357"/>
        <w:jc w:val="both"/>
        <w:rPr>
          <w:rFonts w:ascii="Century Gothic" w:hAnsi="Century Gothic" w:cs="Arial"/>
          <w:b/>
          <w:sz w:val="21"/>
          <w:szCs w:val="21"/>
        </w:rPr>
      </w:pPr>
      <w:r w:rsidRPr="009C621D">
        <w:rPr>
          <w:rFonts w:ascii="Century Gothic" w:hAnsi="Century Gothic" w:cs="Arial"/>
          <w:sz w:val="21"/>
          <w:szCs w:val="21"/>
        </w:rPr>
        <w:t xml:space="preserve">In the interests of effective working, the major tasks may be reviewed from time to time to reflect changing needs and circumstances.  </w:t>
      </w:r>
    </w:p>
    <w:p w14:paraId="5434F63E" w14:textId="5C5021E0" w:rsidR="00465452" w:rsidRPr="009C621D" w:rsidRDefault="00B23BFF" w:rsidP="000A4BC3">
      <w:pPr>
        <w:numPr>
          <w:ilvl w:val="0"/>
          <w:numId w:val="10"/>
        </w:numPr>
        <w:ind w:left="357" w:hanging="357"/>
        <w:jc w:val="both"/>
        <w:rPr>
          <w:rFonts w:ascii="Century Gothic" w:hAnsi="Century Gothic" w:cs="Arial"/>
          <w:b/>
          <w:sz w:val="21"/>
          <w:szCs w:val="21"/>
        </w:rPr>
      </w:pPr>
      <w:r w:rsidRPr="009C621D">
        <w:rPr>
          <w:rFonts w:ascii="Century Gothic" w:hAnsi="Century Gothic" w:cs="Arial"/>
          <w:sz w:val="21"/>
          <w:szCs w:val="21"/>
        </w:rPr>
        <w:t>Demonstrate a commitment to personal and professional development by attending related courses, workshops or seminars.</w:t>
      </w:r>
    </w:p>
    <w:p w14:paraId="24938C36" w14:textId="2AF0F5EC" w:rsidR="00465452" w:rsidRPr="009C621D" w:rsidRDefault="00B23BFF" w:rsidP="001D0A2A">
      <w:pPr>
        <w:numPr>
          <w:ilvl w:val="0"/>
          <w:numId w:val="10"/>
        </w:numPr>
        <w:ind w:left="357" w:hanging="357"/>
        <w:jc w:val="both"/>
        <w:rPr>
          <w:rFonts w:ascii="Century Gothic" w:hAnsi="Century Gothic" w:cs="Arial"/>
          <w:sz w:val="21"/>
          <w:szCs w:val="21"/>
        </w:rPr>
      </w:pPr>
      <w:r w:rsidRPr="009C621D">
        <w:rPr>
          <w:rFonts w:ascii="Century Gothic" w:hAnsi="Century Gothic" w:cs="Arial"/>
          <w:sz w:val="21"/>
          <w:szCs w:val="21"/>
        </w:rPr>
        <w:t xml:space="preserve">Ensure that reasonable care is taken at all times for the health, safety and welfare of yourself and other persons, and comply with policies and procedures relating to health and safety within the </w:t>
      </w:r>
      <w:r w:rsidR="00D9730A" w:rsidRPr="009C621D">
        <w:rPr>
          <w:rFonts w:ascii="Century Gothic" w:hAnsi="Century Gothic" w:cs="Arial"/>
          <w:sz w:val="21"/>
          <w:szCs w:val="21"/>
        </w:rPr>
        <w:t>Trust</w:t>
      </w:r>
      <w:r w:rsidRPr="009C621D">
        <w:rPr>
          <w:rFonts w:ascii="Century Gothic" w:hAnsi="Century Gothic" w:cs="Arial"/>
          <w:sz w:val="21"/>
          <w:szCs w:val="21"/>
        </w:rPr>
        <w:t>.</w:t>
      </w:r>
    </w:p>
    <w:p w14:paraId="57CEB572" w14:textId="33AF69BE" w:rsidR="00B23BFF" w:rsidRPr="009C621D" w:rsidRDefault="000A4BC3" w:rsidP="003C7E02">
      <w:pPr>
        <w:numPr>
          <w:ilvl w:val="0"/>
          <w:numId w:val="10"/>
        </w:numPr>
        <w:ind w:left="357" w:hanging="357"/>
        <w:jc w:val="both"/>
        <w:rPr>
          <w:rFonts w:ascii="Century Gothic" w:hAnsi="Century Gothic" w:cs="Arial"/>
          <w:sz w:val="21"/>
          <w:szCs w:val="21"/>
        </w:rPr>
      </w:pPr>
      <w:r w:rsidRPr="009C621D">
        <w:rPr>
          <w:rFonts w:ascii="Century Gothic" w:hAnsi="Century Gothic" w:cs="Arial"/>
          <w:sz w:val="21"/>
          <w:szCs w:val="21"/>
        </w:rPr>
        <w:t>C</w:t>
      </w:r>
      <w:r w:rsidR="00D21D39" w:rsidRPr="009C621D">
        <w:rPr>
          <w:rFonts w:ascii="Century Gothic" w:hAnsi="Century Gothic" w:cs="Arial"/>
          <w:sz w:val="21"/>
          <w:szCs w:val="21"/>
        </w:rPr>
        <w:t>arry out other relevant duties as may be reasonably requested by t</w:t>
      </w:r>
      <w:r w:rsidR="00920268" w:rsidRPr="009C621D">
        <w:rPr>
          <w:rFonts w:ascii="Century Gothic" w:hAnsi="Century Gothic" w:cs="Arial"/>
          <w:sz w:val="21"/>
          <w:szCs w:val="21"/>
        </w:rPr>
        <w:t xml:space="preserve">he </w:t>
      </w:r>
      <w:r w:rsidR="00D23CD4" w:rsidRPr="009C621D">
        <w:rPr>
          <w:rFonts w:ascii="Century Gothic" w:hAnsi="Century Gothic" w:cs="Arial"/>
          <w:sz w:val="21"/>
          <w:szCs w:val="21"/>
        </w:rPr>
        <w:t xml:space="preserve">Director of Finance &amp; Operations </w:t>
      </w:r>
      <w:r w:rsidR="00E43F60" w:rsidRPr="009C621D">
        <w:rPr>
          <w:rFonts w:ascii="Century Gothic" w:hAnsi="Century Gothic" w:cs="Arial"/>
          <w:sz w:val="21"/>
          <w:szCs w:val="21"/>
        </w:rPr>
        <w:t xml:space="preserve">and CEO </w:t>
      </w:r>
      <w:r w:rsidR="00920268" w:rsidRPr="009C621D">
        <w:rPr>
          <w:rFonts w:ascii="Century Gothic" w:hAnsi="Century Gothic" w:cs="Arial"/>
          <w:sz w:val="21"/>
          <w:szCs w:val="21"/>
        </w:rPr>
        <w:t xml:space="preserve">commensurate with the pay and grade of the </w:t>
      </w:r>
      <w:r w:rsidR="00A65AC5" w:rsidRPr="009C621D">
        <w:rPr>
          <w:rFonts w:ascii="Century Gothic" w:hAnsi="Century Gothic" w:cs="Arial"/>
          <w:sz w:val="21"/>
          <w:szCs w:val="21"/>
        </w:rPr>
        <w:t>post.</w:t>
      </w:r>
    </w:p>
    <w:sectPr w:rsidR="00B23BFF" w:rsidRPr="009C621D" w:rsidSect="00B23BFF">
      <w:footerReference w:type="default" r:id="rId8"/>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03EA" w14:textId="77777777" w:rsidR="0092780D" w:rsidRDefault="0092780D" w:rsidP="00B23BFF">
      <w:r>
        <w:separator/>
      </w:r>
    </w:p>
  </w:endnote>
  <w:endnote w:type="continuationSeparator" w:id="0">
    <w:p w14:paraId="6FC6DA15" w14:textId="77777777" w:rsidR="0092780D" w:rsidRDefault="0092780D" w:rsidP="00B2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72BA" w14:textId="77777777" w:rsidR="00712A0D" w:rsidRPr="00B23BFF" w:rsidRDefault="00D9730A" w:rsidP="00B23BFF">
    <w:pPr>
      <w:pBdr>
        <w:top w:val="single" w:sz="12" w:space="10" w:color="1F497D" w:shadow="1"/>
        <w:left w:val="single" w:sz="12" w:space="10" w:color="1F497D" w:shadow="1"/>
        <w:bottom w:val="single" w:sz="12" w:space="10" w:color="1F497D" w:shadow="1"/>
        <w:right w:val="single" w:sz="12" w:space="10" w:color="1F497D" w:shadow="1"/>
      </w:pBdr>
      <w:ind w:left="284" w:right="237"/>
      <w:jc w:val="center"/>
      <w:rPr>
        <w:szCs w:val="20"/>
        <w:lang w:eastAsia="en-US"/>
      </w:rPr>
    </w:pPr>
    <w:r>
      <w:rPr>
        <w:rFonts w:ascii="Arial" w:hAnsi="Arial" w:cs="Arial"/>
        <w:color w:val="1F497D"/>
        <w:sz w:val="20"/>
        <w:szCs w:val="20"/>
        <w:lang w:eastAsia="en-US"/>
      </w:rPr>
      <w:t>Hatton Academies Trust</w:t>
    </w:r>
    <w:r w:rsidR="00712A0D" w:rsidRPr="00B23BFF">
      <w:rPr>
        <w:rFonts w:ascii="Arial" w:hAnsi="Arial" w:cs="Arial"/>
        <w:color w:val="1F497D"/>
        <w:sz w:val="20"/>
        <w:szCs w:val="20"/>
        <w:lang w:eastAsia="en-US"/>
      </w:rPr>
      <w:t xml:space="preserve"> is committed to safeguarding and promoting the welfare of children and young people and expects all staff and volunteers to share this commitment</w:t>
    </w:r>
    <w:r w:rsidR="00712A0D" w:rsidRPr="00B23BFF">
      <w:rPr>
        <w:color w:val="1F497D"/>
        <w:szCs w:val="20"/>
        <w:lang w:eastAsia="en-US"/>
      </w:rPr>
      <w:t>.</w:t>
    </w:r>
  </w:p>
  <w:p w14:paraId="4CE12C2D" w14:textId="77777777" w:rsidR="00712A0D" w:rsidRDefault="00712A0D">
    <w:pPr>
      <w:pStyle w:val="Footer"/>
    </w:pPr>
  </w:p>
  <w:p w14:paraId="756895AF" w14:textId="77777777" w:rsidR="00712A0D" w:rsidRDefault="00712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4519" w14:textId="77777777" w:rsidR="0092780D" w:rsidRDefault="0092780D" w:rsidP="00B23BFF">
      <w:r>
        <w:separator/>
      </w:r>
    </w:p>
  </w:footnote>
  <w:footnote w:type="continuationSeparator" w:id="0">
    <w:p w14:paraId="5C7485EC" w14:textId="77777777" w:rsidR="0092780D" w:rsidRDefault="0092780D" w:rsidP="00B23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E232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81C7E"/>
    <w:multiLevelType w:val="hybridMultilevel"/>
    <w:tmpl w:val="8EC6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7957"/>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267C1B3B"/>
    <w:multiLevelType w:val="multilevel"/>
    <w:tmpl w:val="A6F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5636D"/>
    <w:multiLevelType w:val="hybridMultilevel"/>
    <w:tmpl w:val="343A1F94"/>
    <w:lvl w:ilvl="0" w:tplc="A8404ACC">
      <w:start w:val="1"/>
      <w:numFmt w:val="bullet"/>
      <w:lvlText w:val=""/>
      <w:lvlJc w:val="left"/>
      <w:pPr>
        <w:tabs>
          <w:tab w:val="num" w:pos="567"/>
        </w:tabs>
        <w:ind w:left="567" w:hanging="567"/>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80F5A"/>
    <w:multiLevelType w:val="hybridMultilevel"/>
    <w:tmpl w:val="A776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90BFA"/>
    <w:multiLevelType w:val="hybridMultilevel"/>
    <w:tmpl w:val="5F80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91B83"/>
    <w:multiLevelType w:val="hybridMultilevel"/>
    <w:tmpl w:val="61CC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171D1"/>
    <w:multiLevelType w:val="hybridMultilevel"/>
    <w:tmpl w:val="9208A0B6"/>
    <w:lvl w:ilvl="0" w:tplc="A8404ACC">
      <w:start w:val="1"/>
      <w:numFmt w:val="bullet"/>
      <w:lvlText w:val=""/>
      <w:lvlJc w:val="left"/>
      <w:pPr>
        <w:tabs>
          <w:tab w:val="num" w:pos="567"/>
        </w:tabs>
        <w:ind w:left="567" w:hanging="56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6B71CE"/>
    <w:multiLevelType w:val="hybridMultilevel"/>
    <w:tmpl w:val="6D0A9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9980AC3"/>
    <w:multiLevelType w:val="hybridMultilevel"/>
    <w:tmpl w:val="196EF298"/>
    <w:lvl w:ilvl="0" w:tplc="A8404ACC">
      <w:start w:val="1"/>
      <w:numFmt w:val="bullet"/>
      <w:lvlText w:val=""/>
      <w:lvlJc w:val="left"/>
      <w:pPr>
        <w:tabs>
          <w:tab w:val="num" w:pos="567"/>
        </w:tabs>
        <w:ind w:left="567" w:hanging="567"/>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436CB"/>
    <w:multiLevelType w:val="hybridMultilevel"/>
    <w:tmpl w:val="12A0CB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E6615A6"/>
    <w:multiLevelType w:val="hybridMultilevel"/>
    <w:tmpl w:val="6882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A7587"/>
    <w:multiLevelType w:val="hybridMultilevel"/>
    <w:tmpl w:val="1C7AE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0A0954"/>
    <w:multiLevelType w:val="hybridMultilevel"/>
    <w:tmpl w:val="2F38D2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5"/>
  </w:num>
  <w:num w:numId="4">
    <w:abstractNumId w:val="2"/>
  </w:num>
  <w:num w:numId="5">
    <w:abstractNumId w:val="12"/>
  </w:num>
  <w:num w:numId="6">
    <w:abstractNumId w:val="10"/>
  </w:num>
  <w:num w:numId="7">
    <w:abstractNumId w:val="4"/>
  </w:num>
  <w:num w:numId="8">
    <w:abstractNumId w:val="3"/>
  </w:num>
  <w:num w:numId="9">
    <w:abstractNumId w:val="1"/>
  </w:num>
  <w:num w:numId="10">
    <w:abstractNumId w:val="13"/>
  </w:num>
  <w:num w:numId="11">
    <w:abstractNumId w:val="9"/>
  </w:num>
  <w:num w:numId="12">
    <w:abstractNumId w:val="11"/>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A7"/>
    <w:rsid w:val="000223D5"/>
    <w:rsid w:val="00043ABE"/>
    <w:rsid w:val="0006419A"/>
    <w:rsid w:val="00065B82"/>
    <w:rsid w:val="000850B0"/>
    <w:rsid w:val="000A4BC3"/>
    <w:rsid w:val="000A566D"/>
    <w:rsid w:val="000D1BF1"/>
    <w:rsid w:val="000F6442"/>
    <w:rsid w:val="0010399A"/>
    <w:rsid w:val="001265D3"/>
    <w:rsid w:val="00140713"/>
    <w:rsid w:val="0015037D"/>
    <w:rsid w:val="001537EC"/>
    <w:rsid w:val="001941EC"/>
    <w:rsid w:val="001B7903"/>
    <w:rsid w:val="001C0B32"/>
    <w:rsid w:val="001F2E3C"/>
    <w:rsid w:val="002118B3"/>
    <w:rsid w:val="00241439"/>
    <w:rsid w:val="00260544"/>
    <w:rsid w:val="00262C7B"/>
    <w:rsid w:val="00274A51"/>
    <w:rsid w:val="002946F2"/>
    <w:rsid w:val="002F2F78"/>
    <w:rsid w:val="0030264F"/>
    <w:rsid w:val="00340855"/>
    <w:rsid w:val="0035363D"/>
    <w:rsid w:val="00370800"/>
    <w:rsid w:val="003F39CC"/>
    <w:rsid w:val="00415C93"/>
    <w:rsid w:val="004254D3"/>
    <w:rsid w:val="004278A3"/>
    <w:rsid w:val="00460C62"/>
    <w:rsid w:val="00465452"/>
    <w:rsid w:val="00467757"/>
    <w:rsid w:val="00484464"/>
    <w:rsid w:val="00496E4F"/>
    <w:rsid w:val="004C2407"/>
    <w:rsid w:val="004E45F6"/>
    <w:rsid w:val="004E6AF6"/>
    <w:rsid w:val="00550CDA"/>
    <w:rsid w:val="00557FA2"/>
    <w:rsid w:val="00590752"/>
    <w:rsid w:val="005B4B9E"/>
    <w:rsid w:val="005F084C"/>
    <w:rsid w:val="005F17CC"/>
    <w:rsid w:val="00621208"/>
    <w:rsid w:val="00633F6F"/>
    <w:rsid w:val="00636F81"/>
    <w:rsid w:val="00652839"/>
    <w:rsid w:val="00656313"/>
    <w:rsid w:val="006A6DDF"/>
    <w:rsid w:val="006C26B4"/>
    <w:rsid w:val="006D34CC"/>
    <w:rsid w:val="006E6A90"/>
    <w:rsid w:val="00710E04"/>
    <w:rsid w:val="00712A0D"/>
    <w:rsid w:val="007303BD"/>
    <w:rsid w:val="007652CA"/>
    <w:rsid w:val="00773383"/>
    <w:rsid w:val="007D0BAD"/>
    <w:rsid w:val="007F09EB"/>
    <w:rsid w:val="007F1190"/>
    <w:rsid w:val="007F14DF"/>
    <w:rsid w:val="00807FB4"/>
    <w:rsid w:val="00830287"/>
    <w:rsid w:val="008540C4"/>
    <w:rsid w:val="0085562E"/>
    <w:rsid w:val="008656F8"/>
    <w:rsid w:val="00867673"/>
    <w:rsid w:val="00882820"/>
    <w:rsid w:val="0088571B"/>
    <w:rsid w:val="008912BA"/>
    <w:rsid w:val="008C2091"/>
    <w:rsid w:val="008D75A1"/>
    <w:rsid w:val="00920268"/>
    <w:rsid w:val="0092780D"/>
    <w:rsid w:val="009361B7"/>
    <w:rsid w:val="009421E1"/>
    <w:rsid w:val="009653B5"/>
    <w:rsid w:val="009C621D"/>
    <w:rsid w:val="009D0B30"/>
    <w:rsid w:val="009D182D"/>
    <w:rsid w:val="009D45F2"/>
    <w:rsid w:val="00A31E09"/>
    <w:rsid w:val="00A5337C"/>
    <w:rsid w:val="00A65AC5"/>
    <w:rsid w:val="00A748A7"/>
    <w:rsid w:val="00A858EB"/>
    <w:rsid w:val="00AB552A"/>
    <w:rsid w:val="00AC7C98"/>
    <w:rsid w:val="00AC7D1A"/>
    <w:rsid w:val="00AD7E15"/>
    <w:rsid w:val="00B0591D"/>
    <w:rsid w:val="00B06562"/>
    <w:rsid w:val="00B16AF1"/>
    <w:rsid w:val="00B23BFF"/>
    <w:rsid w:val="00B30739"/>
    <w:rsid w:val="00B64C4A"/>
    <w:rsid w:val="00B87819"/>
    <w:rsid w:val="00BB54DE"/>
    <w:rsid w:val="00BC6203"/>
    <w:rsid w:val="00BC6BC2"/>
    <w:rsid w:val="00BD180B"/>
    <w:rsid w:val="00BE59C2"/>
    <w:rsid w:val="00BE5B51"/>
    <w:rsid w:val="00BF2FB4"/>
    <w:rsid w:val="00C022B3"/>
    <w:rsid w:val="00C20837"/>
    <w:rsid w:val="00C27B19"/>
    <w:rsid w:val="00C576C3"/>
    <w:rsid w:val="00CA4DCE"/>
    <w:rsid w:val="00CB0A89"/>
    <w:rsid w:val="00CC6945"/>
    <w:rsid w:val="00CC72A0"/>
    <w:rsid w:val="00CF12E7"/>
    <w:rsid w:val="00CF4DFE"/>
    <w:rsid w:val="00CF7438"/>
    <w:rsid w:val="00D21D39"/>
    <w:rsid w:val="00D23CD4"/>
    <w:rsid w:val="00D40DEA"/>
    <w:rsid w:val="00D40F08"/>
    <w:rsid w:val="00D53F65"/>
    <w:rsid w:val="00D80B79"/>
    <w:rsid w:val="00D870D0"/>
    <w:rsid w:val="00D9730A"/>
    <w:rsid w:val="00DF227A"/>
    <w:rsid w:val="00E31FF5"/>
    <w:rsid w:val="00E43F60"/>
    <w:rsid w:val="00E44473"/>
    <w:rsid w:val="00E52F79"/>
    <w:rsid w:val="00E5724D"/>
    <w:rsid w:val="00E97D18"/>
    <w:rsid w:val="00E97FDC"/>
    <w:rsid w:val="00EA304C"/>
    <w:rsid w:val="00EC3974"/>
    <w:rsid w:val="00EC7B16"/>
    <w:rsid w:val="00EE0020"/>
    <w:rsid w:val="00F03FAA"/>
    <w:rsid w:val="00F11032"/>
    <w:rsid w:val="00F15A45"/>
    <w:rsid w:val="00F1709A"/>
    <w:rsid w:val="00F25CD8"/>
    <w:rsid w:val="00F312DE"/>
    <w:rsid w:val="00F32388"/>
    <w:rsid w:val="00F7494B"/>
    <w:rsid w:val="00F75757"/>
    <w:rsid w:val="00FC44D5"/>
    <w:rsid w:val="00FE7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2410D"/>
  <w15:chartTrackingRefBased/>
  <w15:docId w15:val="{C9340BF9-9715-4CB3-9FF9-E3F3056E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7F09EB"/>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3BFF"/>
    <w:pPr>
      <w:tabs>
        <w:tab w:val="center" w:pos="4513"/>
        <w:tab w:val="right" w:pos="9026"/>
      </w:tabs>
    </w:pPr>
  </w:style>
  <w:style w:type="character" w:customStyle="1" w:styleId="HeaderChar">
    <w:name w:val="Header Char"/>
    <w:link w:val="Header"/>
    <w:rsid w:val="00B23BFF"/>
    <w:rPr>
      <w:sz w:val="24"/>
      <w:szCs w:val="24"/>
    </w:rPr>
  </w:style>
  <w:style w:type="paragraph" w:styleId="Footer">
    <w:name w:val="footer"/>
    <w:basedOn w:val="Normal"/>
    <w:link w:val="FooterChar"/>
    <w:uiPriority w:val="99"/>
    <w:rsid w:val="00B23BFF"/>
    <w:pPr>
      <w:tabs>
        <w:tab w:val="center" w:pos="4513"/>
        <w:tab w:val="right" w:pos="9026"/>
      </w:tabs>
    </w:pPr>
  </w:style>
  <w:style w:type="character" w:customStyle="1" w:styleId="FooterChar">
    <w:name w:val="Footer Char"/>
    <w:link w:val="Footer"/>
    <w:uiPriority w:val="99"/>
    <w:rsid w:val="00B23BFF"/>
    <w:rPr>
      <w:sz w:val="24"/>
      <w:szCs w:val="24"/>
    </w:rPr>
  </w:style>
  <w:style w:type="paragraph" w:styleId="BalloonText">
    <w:name w:val="Balloon Text"/>
    <w:basedOn w:val="Normal"/>
    <w:link w:val="BalloonTextChar"/>
    <w:rsid w:val="00B23BFF"/>
    <w:rPr>
      <w:rFonts w:ascii="Tahoma" w:hAnsi="Tahoma" w:cs="Tahoma"/>
      <w:sz w:val="16"/>
      <w:szCs w:val="16"/>
    </w:rPr>
  </w:style>
  <w:style w:type="character" w:customStyle="1" w:styleId="BalloonTextChar">
    <w:name w:val="Balloon Text Char"/>
    <w:link w:val="BalloonText"/>
    <w:rsid w:val="00B23BFF"/>
    <w:rPr>
      <w:rFonts w:ascii="Tahoma" w:hAnsi="Tahoma" w:cs="Tahoma"/>
      <w:sz w:val="16"/>
      <w:szCs w:val="16"/>
    </w:rPr>
  </w:style>
  <w:style w:type="paragraph" w:styleId="ListParagraph">
    <w:name w:val="List Paragraph"/>
    <w:basedOn w:val="Normal"/>
    <w:uiPriority w:val="34"/>
    <w:qFormat/>
    <w:rsid w:val="00D40DEA"/>
    <w:pPr>
      <w:ind w:left="720"/>
    </w:pPr>
  </w:style>
  <w:style w:type="character" w:styleId="CommentReference">
    <w:name w:val="annotation reference"/>
    <w:basedOn w:val="DefaultParagraphFont"/>
    <w:rsid w:val="00C27B19"/>
    <w:rPr>
      <w:sz w:val="16"/>
      <w:szCs w:val="16"/>
    </w:rPr>
  </w:style>
  <w:style w:type="paragraph" w:styleId="CommentText">
    <w:name w:val="annotation text"/>
    <w:basedOn w:val="Normal"/>
    <w:link w:val="CommentTextChar"/>
    <w:rsid w:val="00C27B19"/>
    <w:rPr>
      <w:sz w:val="20"/>
      <w:szCs w:val="20"/>
    </w:rPr>
  </w:style>
  <w:style w:type="character" w:customStyle="1" w:styleId="CommentTextChar">
    <w:name w:val="Comment Text Char"/>
    <w:basedOn w:val="DefaultParagraphFont"/>
    <w:link w:val="CommentText"/>
    <w:rsid w:val="00C27B19"/>
  </w:style>
  <w:style w:type="paragraph" w:styleId="CommentSubject">
    <w:name w:val="annotation subject"/>
    <w:basedOn w:val="CommentText"/>
    <w:next w:val="CommentText"/>
    <w:link w:val="CommentSubjectChar"/>
    <w:rsid w:val="00C27B19"/>
    <w:rPr>
      <w:b/>
      <w:bCs/>
    </w:rPr>
  </w:style>
  <w:style w:type="character" w:customStyle="1" w:styleId="CommentSubjectChar">
    <w:name w:val="Comment Subject Char"/>
    <w:basedOn w:val="CommentTextChar"/>
    <w:link w:val="CommentSubject"/>
    <w:rsid w:val="00C27B19"/>
    <w:rPr>
      <w:b/>
      <w:bCs/>
    </w:rPr>
  </w:style>
  <w:style w:type="character" w:customStyle="1" w:styleId="Heading2Char">
    <w:name w:val="Heading 2 Char"/>
    <w:basedOn w:val="DefaultParagraphFont"/>
    <w:link w:val="Heading2"/>
    <w:uiPriority w:val="9"/>
    <w:rsid w:val="007F09EB"/>
    <w:rPr>
      <w:rFonts w:asciiTheme="majorHAnsi" w:eastAsiaTheme="majorEastAsia" w:hAnsiTheme="majorHAnsi" w:cstheme="majorBidi"/>
      <w:b/>
      <w:bCs/>
      <w:color w:val="4472C4" w:themeColor="accent1"/>
      <w:sz w:val="26"/>
      <w:szCs w:val="26"/>
      <w:lang w:val="en-US" w:eastAsia="en-US"/>
    </w:rPr>
  </w:style>
  <w:style w:type="paragraph" w:styleId="ListBullet">
    <w:name w:val="List Bullet"/>
    <w:basedOn w:val="Normal"/>
    <w:uiPriority w:val="99"/>
    <w:unhideWhenUsed/>
    <w:rsid w:val="007F09EB"/>
    <w:pPr>
      <w:numPr>
        <w:numId w:val="15"/>
      </w:numPr>
      <w:spacing w:after="200" w:line="276" w:lineRule="auto"/>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16631">
      <w:bodyDiv w:val="1"/>
      <w:marLeft w:val="0"/>
      <w:marRight w:val="0"/>
      <w:marTop w:val="0"/>
      <w:marBottom w:val="0"/>
      <w:divBdr>
        <w:top w:val="none" w:sz="0" w:space="0" w:color="auto"/>
        <w:left w:val="none" w:sz="0" w:space="0" w:color="auto"/>
        <w:bottom w:val="none" w:sz="0" w:space="0" w:color="auto"/>
        <w:right w:val="none" w:sz="0" w:space="0" w:color="auto"/>
      </w:divBdr>
      <w:divsChild>
        <w:div w:id="742483546">
          <w:marLeft w:val="0"/>
          <w:marRight w:val="0"/>
          <w:marTop w:val="0"/>
          <w:marBottom w:val="0"/>
          <w:divBdr>
            <w:top w:val="none" w:sz="0" w:space="0" w:color="auto"/>
            <w:left w:val="none" w:sz="0" w:space="0" w:color="auto"/>
            <w:bottom w:val="none" w:sz="0" w:space="0" w:color="auto"/>
            <w:right w:val="none" w:sz="0" w:space="0" w:color="auto"/>
          </w:divBdr>
          <w:divsChild>
            <w:div w:id="1896819956">
              <w:marLeft w:val="0"/>
              <w:marRight w:val="0"/>
              <w:marTop w:val="0"/>
              <w:marBottom w:val="0"/>
              <w:divBdr>
                <w:top w:val="none" w:sz="0" w:space="0" w:color="auto"/>
                <w:left w:val="none" w:sz="0" w:space="0" w:color="auto"/>
                <w:bottom w:val="none" w:sz="0" w:space="0" w:color="auto"/>
                <w:right w:val="none" w:sz="0" w:space="0" w:color="auto"/>
              </w:divBdr>
              <w:divsChild>
                <w:div w:id="518663517">
                  <w:marLeft w:val="0"/>
                  <w:marRight w:val="300"/>
                  <w:marTop w:val="0"/>
                  <w:marBottom w:val="0"/>
                  <w:divBdr>
                    <w:top w:val="none" w:sz="0" w:space="0" w:color="auto"/>
                    <w:left w:val="none" w:sz="0" w:space="0" w:color="auto"/>
                    <w:bottom w:val="none" w:sz="0" w:space="0" w:color="auto"/>
                    <w:right w:val="none" w:sz="0" w:space="0" w:color="auto"/>
                  </w:divBdr>
                  <w:divsChild>
                    <w:div w:id="16873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SCHS</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Elaine Snell</dc:creator>
  <cp:keywords/>
  <cp:lastModifiedBy>S Tattersfield</cp:lastModifiedBy>
  <cp:revision>2</cp:revision>
  <cp:lastPrinted>2022-02-02T10:17:00Z</cp:lastPrinted>
  <dcterms:created xsi:type="dcterms:W3CDTF">2025-07-16T13:38:00Z</dcterms:created>
  <dcterms:modified xsi:type="dcterms:W3CDTF">2025-07-16T13:38:00Z</dcterms:modified>
</cp:coreProperties>
</file>